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CF7D10" w14:textId="77777777" w:rsidR="00D54385" w:rsidRDefault="00550481">
      <w:pPr>
        <w:pStyle w:val="Title"/>
        <w:pBdr>
          <w:bottom w:val="nil"/>
        </w:pBdr>
      </w:pPr>
      <w:r>
        <w:t>Natural Environment Consultation</w:t>
      </w:r>
    </w:p>
    <w:p w14:paraId="70FDC39F" w14:textId="77777777" w:rsidR="00D54385" w:rsidRDefault="00550481">
      <w:r>
        <w:t>Discussion report for Rebecca Pow | CPF Voices interview with Helen Edward</w:t>
      </w:r>
    </w:p>
    <w:p w14:paraId="5246B1C8" w14:textId="77777777" w:rsidR="00D54385" w:rsidRDefault="00550481">
      <w:r>
        <w:t>Draft for review | Prepared from the supplied interview transcript</w:t>
      </w:r>
    </w:p>
    <w:p w14:paraId="7D1F2BA1" w14:textId="77777777" w:rsidR="00D54385" w:rsidRDefault="00550481">
      <w:pPr>
        <w:pStyle w:val="Heading1"/>
      </w:pPr>
      <w:r>
        <w:t>Purpose and principal message</w:t>
      </w:r>
    </w:p>
    <w:p w14:paraId="2FD9C7DC" w14:textId="77777777" w:rsidR="00D54385" w:rsidRDefault="00550481">
      <w:r>
        <w:t>This report organises Rebecca Pow’s contribution to the Conservative Policy Forum Natural Environment consultation under its discussion headings. It records her views and suggested directions for policy; it is not a consensus statement or an independently verified account of legislation, expenditure or environmental outcomes. Her central argument is that nature, farming, food and water security, housing, and climate adaptation must be planned together. She called for long-term rewards for farmers, water man</w:t>
      </w:r>
      <w:r>
        <w:t>agement by catchment, earlier consideration of nature in planning, and a stronger statutory approach to resilience.</w:t>
      </w:r>
    </w:p>
    <w:p w14:paraId="50D50CE0" w14:textId="77777777" w:rsidR="00D54385" w:rsidRDefault="00550481">
      <w:pPr>
        <w:pStyle w:val="Heading1"/>
      </w:pPr>
      <w:r>
        <w:t>Funding and Valuing Nature</w:t>
      </w:r>
    </w:p>
    <w:p w14:paraId="185BD1EE" w14:textId="77777777" w:rsidR="00D54385" w:rsidRDefault="00550481">
      <w:pPr>
        <w:pStyle w:val="Heading2"/>
      </w:pPr>
      <w:r>
        <w:t>Public and private funding</w:t>
      </w:r>
    </w:p>
    <w:p w14:paraId="15916829" w14:textId="77777777" w:rsidR="00D54385" w:rsidRDefault="00550481">
      <w:r>
        <w:t>Pow argued that the benefits nature supplies—cleaner water, healthy soil, pollination, flood mitigation and habitat—are valuable to society but are not consistently priced or rewarded by markets. Public funding should therefore remain an anchor for nature recovery, especially where benefits are diffuse or long term. Private investment can add to this where a credible project, clear outcomes and sound governance make payment possible. She did not prescribe a numerical balance between the two.</w:t>
      </w:r>
    </w:p>
    <w:p w14:paraId="0655B86D" w14:textId="77777777" w:rsidR="00D54385" w:rsidRDefault="00550481">
      <w:r>
        <w:t>She suggested that farmers could receive payments from water companies or other beneficiaries for measures that improve water quality or reduce flooding. She pointed to existing company-led work, including Wessex Water, and proposed a more systematic policy framework so such arrangements do not depend on individual initiatives. She also saw potential for biodiversity net gain funding to support larger, strategically chosen off-site habitat projects where on-site provision is impractical.</w:t>
      </w:r>
    </w:p>
    <w:p w14:paraId="2190E4AC" w14:textId="77777777" w:rsidR="00D54385" w:rsidRDefault="00550481">
      <w:pPr>
        <w:pStyle w:val="Heading2"/>
      </w:pPr>
      <w:r>
        <w:t>Local communities and voluntary groups</w:t>
      </w:r>
    </w:p>
    <w:p w14:paraId="4EA1615E" w14:textId="77777777" w:rsidR="00D54385" w:rsidRDefault="00550481">
      <w:r>
        <w:t>Pow emphasised the knowledge and commitment of local residents, wildlife groups and voluntary organisations. Citizen monitoring has helped reveal water pollution problems; local people can also identify valuable habitats and help protect ancient woodland, veteran trees and hedgerows. She cited campaigning with the Women’s Institute on microbeads and community involvement in ancient woodland protection as examples of effective collective action.</w:t>
      </w:r>
    </w:p>
    <w:p w14:paraId="2021268C" w14:textId="77777777" w:rsidR="00D54385" w:rsidRDefault="00550481">
      <w:r>
        <w:t>Her proposed improvement is to give communities an earlier and more meaningful role in decisions. She suggested local strategic assessments that assemble environmental evidence alongside landscape, heritage and community value, so people can identify suitable places for development before a planning application is effectively settled. She expressed concern that some neighbourhood plans have had too little weight in subsequent decisions. The interview did not develop a specific programme for urban trees, par</w:t>
      </w:r>
      <w:r>
        <w:t>ks or other urban nature opportunities; that consultation question needs further evidence.</w:t>
      </w:r>
    </w:p>
    <w:p w14:paraId="32D082B5" w14:textId="77777777" w:rsidR="00D54385" w:rsidRDefault="00550481">
      <w:pPr>
        <w:pStyle w:val="Heading1"/>
      </w:pPr>
      <w:r>
        <w:t>Land Use and Farming</w:t>
      </w:r>
    </w:p>
    <w:p w14:paraId="043315ED" w14:textId="77777777" w:rsidR="00D54385" w:rsidRDefault="00550481">
      <w:pPr>
        <w:pStyle w:val="Heading2"/>
      </w:pPr>
      <w:r>
        <w:t>Balancing food, housing and nature</w:t>
      </w:r>
    </w:p>
    <w:p w14:paraId="36DCD31B" w14:textId="77777777" w:rsidR="00D54385" w:rsidRDefault="00550481">
      <w:r>
        <w:t>Pow favoured protecting the best agricultural land for food production while accommodating housing through a more deliberate choice of sites. She advocated cleaning up brownfield land, making better use of space above shops and within town centres, and exploring modest, well-designed growth in villages where it supports local services. She opposed treating nature requirements as an obstacle to building: ecological needs should be identified and costed early, with proportionate processes that avoid late dela</w:t>
      </w:r>
      <w:r>
        <w:t>ys. Her suggestion of village growth of around 10 per cent was an illustrative proposition, not an agreed CPF target.</w:t>
      </w:r>
    </w:p>
    <w:p w14:paraId="509B7A84" w14:textId="77777777" w:rsidR="00D54385" w:rsidRDefault="00550481">
      <w:r>
        <w:t>She proposed layering compatible uses of rural land: for example, appropriate business uses in redundant farm buildings and floating solar on farm reservoirs. She supported biodiversity net gain in principle, while arguing for simpler delivery and greater scope for strategically useful off-site provision, such as habitat and river corridors. She cited district-level licensing for great crested newts as an example of a planning mechanism intended to protect species while reducing repeated site-by-site delay.</w:t>
      </w:r>
    </w:p>
    <w:p w14:paraId="77B7ED45" w14:textId="77777777" w:rsidR="00D54385" w:rsidRDefault="00550481">
      <w:pPr>
        <w:pStyle w:val="Heading2"/>
      </w:pPr>
      <w:r>
        <w:t>Reward and certainty for farmers</w:t>
      </w:r>
    </w:p>
    <w:p w14:paraId="66166FAB" w14:textId="77777777" w:rsidR="00D54385" w:rsidRDefault="00550481">
      <w:r>
        <w:t>Pow described the move from Common Agricultural Policy area payments toward payments for public goods as an important change. She referred to Environmental Land Management and the Sustainable Farming Incentive as ways to reward field margins, pollinator strips, habitat features and river corridors. Her priority now is a simpler, adequately funded scheme with predictable access, multi-year commitments and transparent outcomes. Farmers cannot confidently change land management when scheme terms or funding are</w:t>
      </w:r>
      <w:r>
        <w:t xml:space="preserve"> uncertain.</w:t>
      </w:r>
    </w:p>
    <w:p w14:paraId="05C6D9DA" w14:textId="77777777" w:rsidR="00D54385" w:rsidRDefault="00550481">
      <w:r>
        <w:t>She highlighted Farming in Protected Landscapes as a useful model because neighbouring farmers can work across a valley or catchment, combine environmental measures and sometimes develop local produce. She also raised farm profitability: larger buyers’ bargaining power can squeeze producers, while cooperatives or group working may improve their position. Environmental payments should complement a viable food-producing business, not assume farmers can absorb unrewarded costs.</w:t>
      </w:r>
    </w:p>
    <w:p w14:paraId="38A034CC" w14:textId="77777777" w:rsidR="00D54385" w:rsidRDefault="00550481">
      <w:pPr>
        <w:pStyle w:val="Heading1"/>
      </w:pPr>
      <w:r>
        <w:t>Pollution and Water</w:t>
      </w:r>
    </w:p>
    <w:p w14:paraId="75163D37" w14:textId="77777777" w:rsidR="00D54385" w:rsidRDefault="00550481">
      <w:pPr>
        <w:pStyle w:val="Heading2"/>
      </w:pPr>
      <w:r>
        <w:t>Identifiable polluters and accountability</w:t>
      </w:r>
    </w:p>
    <w:p w14:paraId="71374F47" w14:textId="77777777" w:rsidR="00D54385" w:rsidRDefault="00550481">
      <w:r>
        <w:t>Pow endorsed the principle that identifiable polluters should be responsible for the costs they cause. She called for greater scrutiny and transparency of water companies and argued that monitoring data must be used to guide action. She described the previous government’s Plan for Water and storm overflow reduction work as part of its response, while acknowledging that sewage pollution is unacceptable and that earlier action should have been taken.</w:t>
      </w:r>
    </w:p>
    <w:p w14:paraId="71E95100" w14:textId="77777777" w:rsidR="00D54385" w:rsidRDefault="00550481">
      <w:r>
        <w:t>Her main structural proposal is to organise decisions around whole river catchments. A catchment inventory would identify incoming nutrients, other pollution sources, soil loss, flood risks and the interventions most likely to work. Water companies, farmers, businesses, regulators and communities would then work to shared priorities from headwaters downstream. She argued that reporting requirements and regulators’ responsibilities should be made more coherent.</w:t>
      </w:r>
    </w:p>
    <w:p w14:paraId="1ED550BB" w14:textId="77777777" w:rsidR="00D54385" w:rsidRDefault="00550481">
      <w:pPr>
        <w:pStyle w:val="Heading2"/>
      </w:pPr>
      <w:r>
        <w:t>Diffuse agricultural runoff</w:t>
      </w:r>
    </w:p>
    <w:p w14:paraId="7886E6C7" w14:textId="77777777" w:rsidR="00D54385" w:rsidRDefault="00550481">
      <w:r>
        <w:t>For pollution with no single readily identifiable source, Pow favoured paying farmers to deliver measured improvements rather than relying primarily on penalties. Catchment plans could identify where buffers, hedgerows, river corridors, soil management or other measures would reduce nitrates, phosphates and sediment. Contracts should reward the environmental service and remain practical to apply for. She connected this approach with natural flood management and more on-farm reservoirs.</w:t>
      </w:r>
    </w:p>
    <w:p w14:paraId="6A50601E" w14:textId="77777777" w:rsidR="00D54385" w:rsidRDefault="00550481">
      <w:pPr>
        <w:pStyle w:val="Heading1"/>
      </w:pPr>
      <w:r>
        <w:t>Climate Resilience and Biosecurity</w:t>
      </w:r>
    </w:p>
    <w:p w14:paraId="28845A75" w14:textId="77777777" w:rsidR="00D54385" w:rsidRDefault="00550481">
      <w:pPr>
        <w:pStyle w:val="Heading2"/>
      </w:pPr>
      <w:r>
        <w:t>Heat, floods and adaptation</w:t>
      </w:r>
    </w:p>
    <w:p w14:paraId="788F0222" w14:textId="77777777" w:rsidR="00D54385" w:rsidRDefault="00550481">
      <w:r>
        <w:t>Pow argued that emissions reduction alone is insufficient: policy must also help habitats, settlements and infrastructure withstand warming, drought, flooding, wildfires and extreme heat. She called for stronger, potentially statutory, adaptation and resilience duties across government, supported by an assessment of the economic and health costs of inaction. Her examples included sustainable drainage in new developments, better planning for reservoirs, natural flood management and flood protection for criti</w:t>
      </w:r>
      <w:r>
        <w:t>cal infrastructure.</w:t>
      </w:r>
    </w:p>
    <w:p w14:paraId="2151C512" w14:textId="77777777" w:rsidR="00D54385" w:rsidRDefault="00550481">
      <w:r>
        <w:t>Nature-based measures should sit alongside necessary engineered defences. Connected river corridors, trees, hedgerows, healthy soils and wetlands can hold or slow water and help species move and recover. She urged departments to consider these benefits early when designing housing and infrastructure. The transcript does not set out detailed measures for urban heat or species-specific climate adaptation.</w:t>
      </w:r>
    </w:p>
    <w:p w14:paraId="5901FA9C" w14:textId="77777777" w:rsidR="00D54385" w:rsidRDefault="00550481">
      <w:pPr>
        <w:pStyle w:val="Heading2"/>
      </w:pPr>
      <w:r>
        <w:t>Disease and biosecurity</w:t>
      </w:r>
    </w:p>
    <w:p w14:paraId="3BF81FEB" w14:textId="77777777" w:rsidR="00D54385" w:rsidRDefault="00550481">
      <w:r>
        <w:t>The interview did not substantively address new pests, diseases, invasive species, surveillance or import controls. No position on biosecurity should be attributed to Pow on the basis of this conversation. This remains a question for follow-up.</w:t>
      </w:r>
    </w:p>
    <w:p w14:paraId="38ED4DC4" w14:textId="77777777" w:rsidR="00D54385" w:rsidRDefault="00550481">
      <w:pPr>
        <w:pStyle w:val="Heading1"/>
      </w:pPr>
      <w:r>
        <w:t>Species Priorities</w:t>
      </w:r>
    </w:p>
    <w:p w14:paraId="02CD386A" w14:textId="77777777" w:rsidR="00D54385" w:rsidRDefault="00550481">
      <w:r>
        <w:t>Pow did not rank iconic native species. She spoke instead about protecting the habitats that sustain many species, particularly ancient woodland, veteran trees, hedgerows, pollinator areas and river corridors. She cited earlier work to strengthen planning protection for ancient woodland and veteran trees and to protect hedgerows. A separate discussion would be needed to identify priority species, the evidence for choosing them and the interventions required.</w:t>
      </w:r>
    </w:p>
    <w:p w14:paraId="15F9F6AE" w14:textId="77777777" w:rsidR="00D54385" w:rsidRDefault="00550481">
      <w:pPr>
        <w:pStyle w:val="Heading1"/>
      </w:pPr>
      <w:r>
        <w:t>Possible points for the consultation to test</w:t>
      </w:r>
    </w:p>
    <w:p w14:paraId="31791F38" w14:textId="77777777" w:rsidR="00D54385" w:rsidRDefault="00550481">
      <w:pPr>
        <w:pStyle w:val="ListBullet"/>
      </w:pPr>
      <w:r>
        <w:t>How can multi-year public funding and credible private payments be combined to reward farmers for measurable nature and water benefits?</w:t>
      </w:r>
    </w:p>
    <w:p w14:paraId="0EAF860E" w14:textId="77777777" w:rsidR="00D54385" w:rsidRDefault="00550481">
      <w:pPr>
        <w:pStyle w:val="ListBullet"/>
      </w:pPr>
      <w:r>
        <w:t>What powers, data and governance would a catchment-led approach need, and who should convene it?</w:t>
      </w:r>
    </w:p>
    <w:p w14:paraId="7EB69156" w14:textId="77777777" w:rsidR="00D54385" w:rsidRDefault="00550481">
      <w:pPr>
        <w:pStyle w:val="ListBullet"/>
      </w:pPr>
      <w:r>
        <w:t>How can community evidence influence land-use choices early enough to matter, including in urban areas?</w:t>
      </w:r>
    </w:p>
    <w:p w14:paraId="3CF290AB" w14:textId="77777777" w:rsidR="00D54385" w:rsidRDefault="00550481">
      <w:pPr>
        <w:pStyle w:val="ListBullet"/>
      </w:pPr>
      <w:r>
        <w:t>How should planning protect productive farmland and important habitats while enabling homes and infrastructure?</w:t>
      </w:r>
    </w:p>
    <w:p w14:paraId="40A4D6B3" w14:textId="77777777" w:rsidR="00D54385" w:rsidRDefault="00550481">
      <w:pPr>
        <w:pStyle w:val="ListBullet"/>
      </w:pPr>
      <w:r>
        <w:t>What statutory or other mechanism would make climate adaptation a routine consideration across departments?</w:t>
      </w:r>
    </w:p>
    <w:p w14:paraId="0ECD5E0F" w14:textId="77777777" w:rsidR="00D54385" w:rsidRDefault="00550481">
      <w:pPr>
        <w:pStyle w:val="ListBullet"/>
      </w:pPr>
      <w:r>
        <w:t>Which native species and emerging biosecurity risks warrant specific national action?</w:t>
      </w:r>
    </w:p>
    <w:p w14:paraId="779E0E6F" w14:textId="77777777" w:rsidR="00D54385" w:rsidRDefault="00550481">
      <w:r>
        <w:t>Source note: Edited and reorganised from the supplied CPF Voices transcript of Helen Edward’s interview with Rebecca Pow. Policy claims and historical references reflect the speaker’s account and should be checked before external publication.</w:t>
      </w:r>
    </w:p>
    <w:sectPr w:rsidR="00D54385" w:rsidSect="00034616">
      <w:footerReference w:type="default" r:id="rId8"/>
      <w:pgSz w:w="12240" w:h="15840"/>
      <w:pgMar w:top="1181" w:right="1325" w:bottom="1080" w:left="132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8E148D" w14:textId="77777777" w:rsidR="00550481" w:rsidRDefault="00550481">
      <w:pPr>
        <w:spacing w:after="0" w:line="240" w:lineRule="auto"/>
      </w:pPr>
      <w:r>
        <w:separator/>
      </w:r>
    </w:p>
  </w:endnote>
  <w:endnote w:type="continuationSeparator" w:id="0">
    <w:p w14:paraId="26C3FA6A" w14:textId="77777777" w:rsidR="00550481" w:rsidRDefault="00550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C7CE2F" w14:textId="77777777" w:rsidR="00D54385" w:rsidRDefault="00550481">
    <w:pPr>
      <w:pStyle w:val="Footer"/>
      <w:jc w:val="center"/>
    </w:pPr>
    <w:r>
      <w:t>CPF Natural Environment  •  Draft for review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2E996D" w14:textId="77777777" w:rsidR="00550481" w:rsidRDefault="00550481">
      <w:pPr>
        <w:spacing w:after="0" w:line="240" w:lineRule="auto"/>
      </w:pPr>
      <w:r>
        <w:separator/>
      </w:r>
    </w:p>
  </w:footnote>
  <w:footnote w:type="continuationSeparator" w:id="0">
    <w:p w14:paraId="240E4DE7" w14:textId="77777777" w:rsidR="00550481" w:rsidRDefault="005504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6779393">
    <w:abstractNumId w:val="8"/>
  </w:num>
  <w:num w:numId="2" w16cid:durableId="1734549291">
    <w:abstractNumId w:val="6"/>
  </w:num>
  <w:num w:numId="3" w16cid:durableId="2087261375">
    <w:abstractNumId w:val="5"/>
  </w:num>
  <w:num w:numId="4" w16cid:durableId="139032739">
    <w:abstractNumId w:val="4"/>
  </w:num>
  <w:num w:numId="5" w16cid:durableId="1580824541">
    <w:abstractNumId w:val="7"/>
  </w:num>
  <w:num w:numId="6" w16cid:durableId="1561819655">
    <w:abstractNumId w:val="3"/>
  </w:num>
  <w:num w:numId="7" w16cid:durableId="438067968">
    <w:abstractNumId w:val="2"/>
  </w:num>
  <w:num w:numId="8" w16cid:durableId="2078015697">
    <w:abstractNumId w:val="1"/>
  </w:num>
  <w:num w:numId="9" w16cid:durableId="14118538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F16"/>
    <w:rsid w:val="00034616"/>
    <w:rsid w:val="0006063C"/>
    <w:rsid w:val="0015074B"/>
    <w:rsid w:val="0029639D"/>
    <w:rsid w:val="00326F90"/>
    <w:rsid w:val="00550481"/>
    <w:rsid w:val="00AA1D8D"/>
    <w:rsid w:val="00B47730"/>
    <w:rsid w:val="00CB0664"/>
    <w:rsid w:val="00D54385"/>
    <w:rsid w:val="00EE0F14"/>
    <w:rsid w:val="00F85B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9C490D"/>
  <w14:defaultImageDpi w14:val="300"/>
  <w15:docId w15:val="{4A787BB2-C677-6F47-BFCA-141D8A489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6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1368</Words>
  <Characters>8019</Characters>
  <Application>Microsoft Office Word</Application>
  <DocSecurity>0</DocSecurity>
  <Lines>174</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